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81" w:rsidRPr="00285DA4" w:rsidRDefault="00285A81" w:rsidP="00285A81">
      <w:pPr>
        <w:jc w:val="center"/>
        <w:rPr>
          <w:rFonts w:ascii="Arial" w:hAnsi="Arial" w:cs="Arial"/>
          <w:b/>
          <w:bCs/>
          <w:sz w:val="22"/>
          <w:szCs w:val="22"/>
          <w:u w:val="single"/>
        </w:rPr>
      </w:pPr>
      <w:bookmarkStart w:id="0" w:name="OLE_LINK1"/>
      <w:bookmarkStart w:id="1" w:name="OLE_LINK2"/>
      <w:r w:rsidRPr="00285DA4">
        <w:rPr>
          <w:rFonts w:ascii="Arial" w:hAnsi="Arial" w:cs="Arial"/>
          <w:b/>
          <w:bCs/>
          <w:sz w:val="22"/>
          <w:szCs w:val="22"/>
          <w:u w:val="single"/>
        </w:rPr>
        <w:t>COMMUNITY SERVICES DIRECTORATE</w:t>
      </w:r>
    </w:p>
    <w:p w:rsidR="00285A81" w:rsidRPr="00285DA4" w:rsidRDefault="00285A81" w:rsidP="00285A81">
      <w:pPr>
        <w:jc w:val="center"/>
        <w:rPr>
          <w:rFonts w:ascii="Arial" w:hAnsi="Arial" w:cs="Arial"/>
          <w:b/>
          <w:bCs/>
          <w:sz w:val="22"/>
          <w:szCs w:val="22"/>
          <w:u w:val="single"/>
        </w:rPr>
      </w:pPr>
    </w:p>
    <w:p w:rsidR="00285A81" w:rsidRPr="00285DA4" w:rsidRDefault="00285A81" w:rsidP="00285A81">
      <w:pPr>
        <w:ind w:left="709" w:hanging="425"/>
        <w:rPr>
          <w:rFonts w:ascii="Arial" w:hAnsi="Arial" w:cs="Arial"/>
          <w:b/>
          <w:bCs/>
          <w:sz w:val="22"/>
          <w:szCs w:val="22"/>
        </w:rPr>
      </w:pPr>
      <w:r w:rsidRPr="00285DA4">
        <w:rPr>
          <w:rFonts w:ascii="Arial" w:hAnsi="Arial" w:cs="Arial"/>
          <w:b/>
          <w:bCs/>
          <w:sz w:val="22"/>
          <w:szCs w:val="22"/>
        </w:rPr>
        <w:t>1.</w:t>
      </w:r>
      <w:r w:rsidRPr="00285DA4">
        <w:rPr>
          <w:rFonts w:ascii="Arial" w:hAnsi="Arial" w:cs="Arial"/>
          <w:b/>
          <w:bCs/>
          <w:sz w:val="22"/>
          <w:szCs w:val="22"/>
        </w:rPr>
        <w:tab/>
      </w:r>
      <w:r w:rsidRPr="00285DA4">
        <w:rPr>
          <w:rFonts w:ascii="Arial" w:hAnsi="Arial" w:cs="Arial"/>
          <w:b/>
          <w:bCs/>
          <w:sz w:val="22"/>
          <w:szCs w:val="22"/>
          <w:u w:val="single"/>
        </w:rPr>
        <w:t>Directorate Overview</w:t>
      </w:r>
    </w:p>
    <w:p w:rsidR="00285A81" w:rsidRPr="00285DA4" w:rsidRDefault="00285A81" w:rsidP="00285A81">
      <w:pPr>
        <w:ind w:left="709"/>
        <w:rPr>
          <w:rFonts w:ascii="Arial" w:hAnsi="Arial" w:cs="Arial"/>
          <w:bCs/>
          <w:sz w:val="22"/>
          <w:szCs w:val="22"/>
        </w:rPr>
      </w:pPr>
    </w:p>
    <w:p w:rsidR="00285A81" w:rsidRPr="003C1966" w:rsidRDefault="00285A81" w:rsidP="00285A81">
      <w:pPr>
        <w:numPr>
          <w:ilvl w:val="1"/>
          <w:numId w:val="1"/>
        </w:numPr>
        <w:rPr>
          <w:rFonts w:ascii="Arial" w:hAnsi="Arial" w:cs="Arial"/>
          <w:bCs/>
          <w:sz w:val="22"/>
          <w:szCs w:val="22"/>
        </w:rPr>
      </w:pPr>
      <w:r w:rsidRPr="00664518">
        <w:rPr>
          <w:rFonts w:ascii="Arial" w:hAnsi="Arial" w:cs="Arial"/>
          <w:bCs/>
          <w:sz w:val="22"/>
          <w:szCs w:val="22"/>
        </w:rPr>
        <w:t xml:space="preserve">Financial performance within Community Services is projected </w:t>
      </w:r>
      <w:r w:rsidR="005F4060">
        <w:rPr>
          <w:rFonts w:ascii="Arial" w:hAnsi="Arial" w:cs="Arial"/>
          <w:bCs/>
          <w:sz w:val="22"/>
          <w:szCs w:val="22"/>
        </w:rPr>
        <w:t xml:space="preserve">to have a favourable </w:t>
      </w:r>
      <w:r w:rsidR="005F4060" w:rsidRPr="003C1966">
        <w:rPr>
          <w:rFonts w:ascii="Arial" w:hAnsi="Arial" w:cs="Arial"/>
          <w:bCs/>
          <w:sz w:val="22"/>
          <w:szCs w:val="22"/>
        </w:rPr>
        <w:t>variance of</w:t>
      </w:r>
      <w:r w:rsidRPr="003C1966">
        <w:rPr>
          <w:rFonts w:ascii="Arial" w:hAnsi="Arial" w:cs="Arial"/>
          <w:bCs/>
          <w:sz w:val="22"/>
          <w:szCs w:val="22"/>
        </w:rPr>
        <w:t xml:space="preserve"> </w:t>
      </w:r>
      <w:r w:rsidR="005F4060" w:rsidRPr="003C1966">
        <w:rPr>
          <w:rFonts w:ascii="Arial" w:hAnsi="Arial" w:cs="Arial"/>
          <w:bCs/>
          <w:sz w:val="22"/>
          <w:szCs w:val="22"/>
        </w:rPr>
        <w:t>£0.505 million.</w:t>
      </w:r>
    </w:p>
    <w:p w:rsidR="00285A81" w:rsidRPr="003C1966" w:rsidRDefault="00285A81" w:rsidP="00285A81">
      <w:pPr>
        <w:ind w:left="644"/>
        <w:rPr>
          <w:rFonts w:ascii="Arial" w:hAnsi="Arial" w:cs="Arial"/>
          <w:bCs/>
          <w:sz w:val="22"/>
          <w:szCs w:val="22"/>
        </w:rPr>
      </w:pPr>
    </w:p>
    <w:p w:rsidR="00285A81" w:rsidRPr="003C1966" w:rsidRDefault="00285A81" w:rsidP="00285A81">
      <w:pPr>
        <w:numPr>
          <w:ilvl w:val="1"/>
          <w:numId w:val="1"/>
        </w:numPr>
        <w:ind w:left="709" w:hanging="425"/>
        <w:rPr>
          <w:rFonts w:ascii="Arial" w:hAnsi="Arial" w:cs="Arial"/>
          <w:bCs/>
          <w:sz w:val="22"/>
          <w:szCs w:val="22"/>
        </w:rPr>
      </w:pPr>
      <w:r w:rsidRPr="003C1966">
        <w:rPr>
          <w:rFonts w:ascii="Arial" w:hAnsi="Arial" w:cs="Arial"/>
          <w:bCs/>
          <w:sz w:val="22"/>
          <w:szCs w:val="22"/>
        </w:rPr>
        <w:t xml:space="preserve">For the Directorate as a whole </w:t>
      </w:r>
      <w:r w:rsidR="00415854" w:rsidRPr="003C1966">
        <w:rPr>
          <w:rFonts w:ascii="Arial" w:hAnsi="Arial" w:cs="Arial"/>
          <w:bCs/>
          <w:sz w:val="22"/>
          <w:szCs w:val="22"/>
        </w:rPr>
        <w:t>19</w:t>
      </w:r>
      <w:r w:rsidRPr="003C1966">
        <w:rPr>
          <w:rFonts w:ascii="Arial" w:hAnsi="Arial" w:cs="Arial"/>
          <w:bCs/>
          <w:sz w:val="22"/>
          <w:szCs w:val="22"/>
        </w:rPr>
        <w:t xml:space="preserve"> (9</w:t>
      </w:r>
      <w:r w:rsidR="00415854" w:rsidRPr="003C1966">
        <w:rPr>
          <w:rFonts w:ascii="Arial" w:hAnsi="Arial" w:cs="Arial"/>
          <w:bCs/>
          <w:sz w:val="22"/>
          <w:szCs w:val="22"/>
        </w:rPr>
        <w:t>0</w:t>
      </w:r>
      <w:r w:rsidRPr="003C1966">
        <w:rPr>
          <w:rFonts w:ascii="Arial" w:hAnsi="Arial" w:cs="Arial"/>
          <w:bCs/>
          <w:sz w:val="22"/>
          <w:szCs w:val="22"/>
        </w:rPr>
        <w:t xml:space="preserve">%) of performance measures were on target with </w:t>
      </w:r>
      <w:r w:rsidR="00415854" w:rsidRPr="003C1966">
        <w:rPr>
          <w:rFonts w:ascii="Arial" w:hAnsi="Arial" w:cs="Arial"/>
          <w:bCs/>
          <w:sz w:val="22"/>
          <w:szCs w:val="22"/>
        </w:rPr>
        <w:t>two</w:t>
      </w:r>
      <w:r w:rsidR="003C1966" w:rsidRPr="003C1966">
        <w:rPr>
          <w:rFonts w:ascii="Arial" w:hAnsi="Arial" w:cs="Arial"/>
          <w:bCs/>
          <w:sz w:val="22"/>
          <w:szCs w:val="22"/>
        </w:rPr>
        <w:t xml:space="preserve"> (9</w:t>
      </w:r>
      <w:r w:rsidRPr="003C1966">
        <w:rPr>
          <w:rFonts w:ascii="Arial" w:hAnsi="Arial" w:cs="Arial"/>
          <w:bCs/>
          <w:sz w:val="22"/>
          <w:szCs w:val="22"/>
        </w:rPr>
        <w:t xml:space="preserve">%) below target </w:t>
      </w:r>
      <w:r w:rsidR="003C1966" w:rsidRPr="003C1966">
        <w:rPr>
          <w:rFonts w:ascii="Arial" w:hAnsi="Arial" w:cs="Arial"/>
          <w:bCs/>
          <w:sz w:val="22"/>
          <w:szCs w:val="22"/>
        </w:rPr>
        <w:t>and one (5%) with no data available at the time of reporting.</w:t>
      </w:r>
    </w:p>
    <w:p w:rsidR="005F4060" w:rsidRPr="003C1966" w:rsidRDefault="005F4060" w:rsidP="005F4060">
      <w:pPr>
        <w:pStyle w:val="ListParagraph"/>
        <w:rPr>
          <w:rFonts w:ascii="Arial" w:hAnsi="Arial" w:cs="Arial"/>
          <w:bCs/>
          <w:sz w:val="22"/>
          <w:szCs w:val="22"/>
        </w:rPr>
      </w:pPr>
    </w:p>
    <w:p w:rsidR="005F4060" w:rsidRPr="003C1966" w:rsidRDefault="007E7A13" w:rsidP="00285A81">
      <w:pPr>
        <w:numPr>
          <w:ilvl w:val="1"/>
          <w:numId w:val="1"/>
        </w:numPr>
        <w:ind w:left="709" w:hanging="425"/>
        <w:rPr>
          <w:rFonts w:ascii="Arial" w:hAnsi="Arial" w:cs="Arial"/>
          <w:bCs/>
          <w:sz w:val="22"/>
          <w:szCs w:val="22"/>
        </w:rPr>
      </w:pPr>
      <w:r>
        <w:rPr>
          <w:rFonts w:ascii="Arial" w:hAnsi="Arial" w:cs="Arial"/>
          <w:bCs/>
          <w:sz w:val="22"/>
          <w:szCs w:val="22"/>
        </w:rPr>
        <w:t>There are</w:t>
      </w:r>
      <w:r w:rsidR="005F4060" w:rsidRPr="003C1966">
        <w:rPr>
          <w:rFonts w:ascii="Arial" w:hAnsi="Arial" w:cs="Arial"/>
          <w:bCs/>
          <w:sz w:val="22"/>
          <w:szCs w:val="22"/>
        </w:rPr>
        <w:t xml:space="preserve"> </w:t>
      </w:r>
      <w:r>
        <w:rPr>
          <w:rFonts w:ascii="Arial" w:hAnsi="Arial" w:cs="Arial"/>
          <w:bCs/>
          <w:sz w:val="22"/>
          <w:szCs w:val="22"/>
        </w:rPr>
        <w:t>eleven</w:t>
      </w:r>
      <w:r w:rsidR="005F4060" w:rsidRPr="003C1966">
        <w:rPr>
          <w:rFonts w:ascii="Arial" w:hAnsi="Arial" w:cs="Arial"/>
          <w:bCs/>
          <w:sz w:val="22"/>
          <w:szCs w:val="22"/>
        </w:rPr>
        <w:t xml:space="preserve"> amber risks with</w:t>
      </w:r>
      <w:r>
        <w:rPr>
          <w:rFonts w:ascii="Arial" w:hAnsi="Arial" w:cs="Arial"/>
          <w:bCs/>
          <w:sz w:val="22"/>
          <w:szCs w:val="22"/>
        </w:rPr>
        <w:t>in</w:t>
      </w:r>
      <w:r w:rsidR="005F4060" w:rsidRPr="003C1966">
        <w:rPr>
          <w:rFonts w:ascii="Arial" w:hAnsi="Arial" w:cs="Arial"/>
          <w:bCs/>
          <w:sz w:val="22"/>
          <w:szCs w:val="22"/>
        </w:rPr>
        <w:t xml:space="preserve"> the Directorate.</w:t>
      </w:r>
    </w:p>
    <w:p w:rsidR="00285A81" w:rsidRPr="003C1966" w:rsidRDefault="00285A81" w:rsidP="00285A81">
      <w:pPr>
        <w:pStyle w:val="ListParagraph"/>
        <w:rPr>
          <w:rFonts w:ascii="Arial" w:hAnsi="Arial" w:cs="Arial"/>
          <w:bCs/>
          <w:sz w:val="22"/>
          <w:szCs w:val="22"/>
        </w:rPr>
      </w:pPr>
    </w:p>
    <w:p w:rsidR="00285A81" w:rsidRPr="003C1966" w:rsidRDefault="00285A81" w:rsidP="00285A81">
      <w:pPr>
        <w:autoSpaceDE w:val="0"/>
        <w:autoSpaceDN w:val="0"/>
        <w:adjustRightInd w:val="0"/>
        <w:spacing w:after="120"/>
        <w:ind w:left="709" w:hanging="425"/>
        <w:rPr>
          <w:rFonts w:ascii="Arial" w:hAnsi="Arial" w:cs="Arial"/>
          <w:b/>
          <w:bCs/>
          <w:color w:val="000000"/>
          <w:sz w:val="22"/>
          <w:szCs w:val="22"/>
          <w:u w:val="single"/>
        </w:rPr>
      </w:pPr>
      <w:r w:rsidRPr="003C1966">
        <w:rPr>
          <w:rFonts w:ascii="Arial" w:hAnsi="Arial" w:cs="Arial"/>
          <w:b/>
          <w:bCs/>
          <w:color w:val="000000"/>
          <w:sz w:val="22"/>
          <w:szCs w:val="22"/>
        </w:rPr>
        <w:t>2.</w:t>
      </w:r>
      <w:r w:rsidRPr="003C1966">
        <w:rPr>
          <w:rFonts w:ascii="Arial" w:hAnsi="Arial" w:cs="Arial"/>
          <w:b/>
          <w:bCs/>
          <w:color w:val="000000"/>
          <w:sz w:val="22"/>
          <w:szCs w:val="22"/>
        </w:rPr>
        <w:tab/>
      </w:r>
      <w:r w:rsidRPr="003C1966">
        <w:rPr>
          <w:rFonts w:ascii="Arial" w:hAnsi="Arial" w:cs="Arial"/>
          <w:b/>
          <w:bCs/>
          <w:color w:val="000000"/>
          <w:sz w:val="22"/>
          <w:szCs w:val="22"/>
          <w:u w:val="single"/>
        </w:rPr>
        <w:t>Directorate Financial Performance</w:t>
      </w:r>
    </w:p>
    <w:p w:rsidR="00285A81" w:rsidRPr="00285DA4" w:rsidRDefault="00285A81" w:rsidP="00285A81">
      <w:pPr>
        <w:autoSpaceDE w:val="0"/>
        <w:autoSpaceDN w:val="0"/>
        <w:adjustRightInd w:val="0"/>
        <w:ind w:left="720" w:hanging="436"/>
        <w:rPr>
          <w:rFonts w:ascii="Arial" w:hAnsi="Arial" w:cs="Arial"/>
          <w:bCs/>
          <w:color w:val="000000"/>
          <w:sz w:val="22"/>
          <w:szCs w:val="22"/>
        </w:rPr>
      </w:pPr>
      <w:r w:rsidRPr="003C1966">
        <w:rPr>
          <w:rFonts w:ascii="Arial" w:hAnsi="Arial" w:cs="Arial"/>
          <w:bCs/>
          <w:color w:val="000000"/>
          <w:sz w:val="22"/>
          <w:szCs w:val="22"/>
        </w:rPr>
        <w:t>2.1</w:t>
      </w:r>
      <w:r w:rsidRPr="003C1966">
        <w:rPr>
          <w:rFonts w:ascii="Arial" w:hAnsi="Arial" w:cs="Arial"/>
          <w:bCs/>
          <w:color w:val="000000"/>
          <w:sz w:val="22"/>
          <w:szCs w:val="22"/>
        </w:rPr>
        <w:tab/>
      </w:r>
      <w:r w:rsidR="00565BC0" w:rsidRPr="003C1966">
        <w:rPr>
          <w:rFonts w:ascii="Arial" w:hAnsi="Arial" w:cs="Arial"/>
          <w:bCs/>
          <w:color w:val="000000"/>
          <w:sz w:val="22"/>
          <w:szCs w:val="22"/>
        </w:rPr>
        <w:t>The Directorate is currently estimated to have a projected outturn position of £9.063</w:t>
      </w:r>
      <w:r w:rsidR="00565BC0">
        <w:rPr>
          <w:rFonts w:ascii="Arial" w:hAnsi="Arial" w:cs="Arial"/>
          <w:bCs/>
          <w:color w:val="000000"/>
          <w:sz w:val="22"/>
          <w:szCs w:val="22"/>
        </w:rPr>
        <w:t xml:space="preserve"> million aga</w:t>
      </w:r>
      <w:r w:rsidR="003C1966">
        <w:rPr>
          <w:rFonts w:ascii="Arial" w:hAnsi="Arial" w:cs="Arial"/>
          <w:bCs/>
          <w:color w:val="000000"/>
          <w:sz w:val="22"/>
          <w:szCs w:val="22"/>
        </w:rPr>
        <w:t xml:space="preserve">inst a latest budget of £9.568 </w:t>
      </w:r>
      <w:r w:rsidR="00565BC0">
        <w:rPr>
          <w:rFonts w:ascii="Arial" w:hAnsi="Arial" w:cs="Arial"/>
          <w:bCs/>
          <w:color w:val="000000"/>
          <w:sz w:val="22"/>
          <w:szCs w:val="22"/>
        </w:rPr>
        <w:t>million, which is a favourable forecast of £0.505 million.</w:t>
      </w:r>
    </w:p>
    <w:p w:rsidR="00285A81" w:rsidRPr="00285DA4" w:rsidRDefault="00285A81" w:rsidP="00285A81">
      <w:pPr>
        <w:autoSpaceDE w:val="0"/>
        <w:autoSpaceDN w:val="0"/>
        <w:adjustRightInd w:val="0"/>
        <w:ind w:left="720" w:hanging="436"/>
        <w:rPr>
          <w:rFonts w:ascii="Arial" w:hAnsi="Arial" w:cs="Arial"/>
          <w:bCs/>
          <w:color w:val="000000"/>
          <w:sz w:val="22"/>
          <w:szCs w:val="22"/>
        </w:rPr>
      </w:pPr>
    </w:p>
    <w:p w:rsidR="00285A81" w:rsidRPr="00285DA4" w:rsidRDefault="00285A81" w:rsidP="00285A81">
      <w:pPr>
        <w:ind w:firstLine="720"/>
        <w:rPr>
          <w:rFonts w:ascii="Arial" w:hAnsi="Arial" w:cs="Arial"/>
          <w:b/>
          <w:bCs/>
          <w:sz w:val="22"/>
          <w:szCs w:val="22"/>
        </w:rPr>
      </w:pPr>
      <w:r w:rsidRPr="00285DA4">
        <w:rPr>
          <w:rFonts w:ascii="Arial" w:hAnsi="Arial" w:cs="Arial"/>
          <w:b/>
          <w:bCs/>
          <w:sz w:val="22"/>
          <w:szCs w:val="22"/>
        </w:rPr>
        <w:t>Direct Services</w:t>
      </w:r>
    </w:p>
    <w:p w:rsidR="00285A81" w:rsidRDefault="00285A81" w:rsidP="00285A81">
      <w:pPr>
        <w:ind w:left="720" w:hanging="436"/>
        <w:rPr>
          <w:rFonts w:ascii="Arial" w:hAnsi="Arial"/>
          <w:sz w:val="22"/>
          <w:szCs w:val="22"/>
        </w:rPr>
      </w:pPr>
      <w:r w:rsidRPr="00285DA4">
        <w:rPr>
          <w:rFonts w:ascii="Arial" w:hAnsi="Arial"/>
          <w:sz w:val="22"/>
          <w:szCs w:val="22"/>
        </w:rPr>
        <w:t>2.</w:t>
      </w:r>
      <w:r w:rsidR="00565BC0">
        <w:rPr>
          <w:rFonts w:ascii="Arial" w:hAnsi="Arial"/>
          <w:sz w:val="22"/>
          <w:szCs w:val="22"/>
        </w:rPr>
        <w:t>2</w:t>
      </w:r>
      <w:r w:rsidRPr="00285DA4">
        <w:rPr>
          <w:rFonts w:ascii="Arial" w:hAnsi="Arial"/>
          <w:sz w:val="22"/>
          <w:szCs w:val="22"/>
        </w:rPr>
        <w:tab/>
      </w:r>
      <w:r w:rsidR="00565BC0">
        <w:rPr>
          <w:rFonts w:ascii="Arial" w:hAnsi="Arial"/>
          <w:sz w:val="22"/>
          <w:szCs w:val="22"/>
        </w:rPr>
        <w:t>Building Services is currently ahead of the profiled budget position, it is anticipated to be ahead of position at year end; Car parking is showing an overall favourable variance</w:t>
      </w:r>
      <w:r w:rsidR="005E4915">
        <w:rPr>
          <w:rFonts w:ascii="Arial" w:hAnsi="Arial"/>
          <w:sz w:val="22"/>
          <w:szCs w:val="22"/>
        </w:rPr>
        <w:t xml:space="preserve"> of £0.200 million</w:t>
      </w:r>
      <w:r w:rsidR="00565BC0">
        <w:rPr>
          <w:rFonts w:ascii="Arial" w:hAnsi="Arial"/>
          <w:sz w:val="22"/>
          <w:szCs w:val="22"/>
        </w:rPr>
        <w:t>; Fuel prices continue to decrease and the expenditure in this area is reducing creating a favourable variance</w:t>
      </w:r>
      <w:r w:rsidR="005E4915">
        <w:rPr>
          <w:rFonts w:ascii="Arial" w:hAnsi="Arial"/>
          <w:sz w:val="22"/>
          <w:szCs w:val="22"/>
        </w:rPr>
        <w:t xml:space="preserve"> of £0.075 million</w:t>
      </w:r>
      <w:r w:rsidR="00565BC0">
        <w:rPr>
          <w:rFonts w:ascii="Arial" w:hAnsi="Arial"/>
          <w:sz w:val="22"/>
          <w:szCs w:val="22"/>
        </w:rPr>
        <w:t xml:space="preserve">; </w:t>
      </w:r>
      <w:r w:rsidR="00565BC0" w:rsidRPr="00565BC0">
        <w:rPr>
          <w:rFonts w:ascii="Arial" w:hAnsi="Arial"/>
          <w:sz w:val="22"/>
          <w:szCs w:val="22"/>
        </w:rPr>
        <w:t>the new Motor Transport ATF lane is performing well and is forecasting a favourable variance</w:t>
      </w:r>
      <w:r w:rsidR="005E4915">
        <w:rPr>
          <w:rFonts w:ascii="Arial" w:hAnsi="Arial"/>
          <w:sz w:val="22"/>
          <w:szCs w:val="22"/>
        </w:rPr>
        <w:t xml:space="preserve"> of £0.160 million</w:t>
      </w:r>
      <w:r w:rsidR="00565BC0" w:rsidRPr="00565BC0">
        <w:rPr>
          <w:rFonts w:ascii="Arial" w:hAnsi="Arial"/>
          <w:sz w:val="22"/>
          <w:szCs w:val="22"/>
        </w:rPr>
        <w:t>; Engineering series are also performing well and showing a favourable variance</w:t>
      </w:r>
      <w:r w:rsidR="005E4915">
        <w:rPr>
          <w:rFonts w:ascii="Arial" w:hAnsi="Arial"/>
          <w:sz w:val="22"/>
          <w:szCs w:val="22"/>
        </w:rPr>
        <w:t xml:space="preserve"> of £0.270 million</w:t>
      </w:r>
      <w:r w:rsidR="00565BC0" w:rsidRPr="00565BC0">
        <w:rPr>
          <w:rFonts w:ascii="Arial" w:hAnsi="Arial"/>
          <w:sz w:val="22"/>
          <w:szCs w:val="22"/>
        </w:rPr>
        <w:t>; there are overall favourable variances for the establishment in Direct Services</w:t>
      </w:r>
      <w:r w:rsidR="005E4915">
        <w:rPr>
          <w:rFonts w:ascii="Arial" w:hAnsi="Arial"/>
          <w:sz w:val="22"/>
          <w:szCs w:val="22"/>
        </w:rPr>
        <w:t>, which equates to £0.400 million after netting off additional costs of agency staff</w:t>
      </w:r>
      <w:r w:rsidR="00565BC0" w:rsidRPr="00565BC0">
        <w:rPr>
          <w:rFonts w:ascii="Arial" w:hAnsi="Arial"/>
          <w:sz w:val="22"/>
          <w:szCs w:val="22"/>
        </w:rPr>
        <w:t xml:space="preserve">.  Offsetting against this favourable position is the budget pressure that was identified in December 2014 relating to the cost of disposal of dry </w:t>
      </w:r>
      <w:proofErr w:type="spellStart"/>
      <w:r w:rsidR="00565BC0" w:rsidRPr="00565BC0">
        <w:rPr>
          <w:rFonts w:ascii="Arial" w:hAnsi="Arial"/>
          <w:sz w:val="22"/>
          <w:szCs w:val="22"/>
        </w:rPr>
        <w:t>recyclate</w:t>
      </w:r>
      <w:proofErr w:type="spellEnd"/>
      <w:r w:rsidR="005E4915">
        <w:rPr>
          <w:rFonts w:ascii="Arial" w:hAnsi="Arial"/>
          <w:sz w:val="22"/>
          <w:szCs w:val="22"/>
        </w:rPr>
        <w:t>, which is estimated to be £0.600 million</w:t>
      </w:r>
      <w:r w:rsidR="00565BC0">
        <w:rPr>
          <w:rFonts w:ascii="Arial" w:hAnsi="Arial"/>
          <w:sz w:val="22"/>
          <w:szCs w:val="22"/>
        </w:rPr>
        <w:t>.</w:t>
      </w:r>
    </w:p>
    <w:p w:rsidR="00285A81" w:rsidRPr="00285DA4" w:rsidRDefault="00285A81" w:rsidP="00285A81">
      <w:pPr>
        <w:ind w:left="720"/>
        <w:rPr>
          <w:rFonts w:ascii="Arial" w:hAnsi="Arial"/>
          <w:sz w:val="22"/>
          <w:szCs w:val="22"/>
        </w:rPr>
      </w:pPr>
    </w:p>
    <w:p w:rsidR="00285A81" w:rsidRPr="00285DA4" w:rsidRDefault="00285A81" w:rsidP="00285A81">
      <w:pPr>
        <w:autoSpaceDE w:val="0"/>
        <w:autoSpaceDN w:val="0"/>
        <w:adjustRightInd w:val="0"/>
        <w:spacing w:after="120"/>
        <w:ind w:left="709" w:hanging="425"/>
        <w:rPr>
          <w:rFonts w:ascii="Arial" w:hAnsi="Arial" w:cs="Arial"/>
          <w:b/>
          <w:bCs/>
          <w:color w:val="000000"/>
          <w:sz w:val="22"/>
          <w:szCs w:val="22"/>
          <w:u w:val="single"/>
        </w:rPr>
      </w:pPr>
      <w:r w:rsidRPr="00285DA4">
        <w:rPr>
          <w:rFonts w:ascii="Arial" w:hAnsi="Arial" w:cs="Arial"/>
          <w:b/>
          <w:bCs/>
          <w:color w:val="000000"/>
          <w:sz w:val="22"/>
          <w:szCs w:val="22"/>
        </w:rPr>
        <w:t>3.</w:t>
      </w:r>
      <w:r w:rsidRPr="00285DA4">
        <w:rPr>
          <w:rFonts w:ascii="Arial" w:hAnsi="Arial" w:cs="Arial"/>
          <w:b/>
          <w:bCs/>
          <w:color w:val="000000"/>
          <w:sz w:val="22"/>
          <w:szCs w:val="22"/>
        </w:rPr>
        <w:tab/>
      </w:r>
      <w:r w:rsidRPr="00285DA4">
        <w:rPr>
          <w:rFonts w:ascii="Arial" w:hAnsi="Arial" w:cs="Arial"/>
          <w:b/>
          <w:bCs/>
          <w:color w:val="000000"/>
          <w:sz w:val="22"/>
          <w:szCs w:val="22"/>
          <w:u w:val="single"/>
        </w:rPr>
        <w:t>Directorate Performance – Exceptions</w:t>
      </w:r>
    </w:p>
    <w:p w:rsidR="00285A81" w:rsidRDefault="00285A81" w:rsidP="00285A81">
      <w:pPr>
        <w:ind w:left="720"/>
        <w:rPr>
          <w:rFonts w:ascii="Arial" w:hAnsi="Arial" w:cs="Arial"/>
          <w:bCs/>
          <w:sz w:val="22"/>
          <w:szCs w:val="22"/>
          <w:highlight w:val="yellow"/>
        </w:rPr>
      </w:pPr>
    </w:p>
    <w:p w:rsidR="00285A81" w:rsidRPr="003C1966" w:rsidRDefault="00285A81" w:rsidP="00285A81">
      <w:pPr>
        <w:ind w:firstLine="720"/>
        <w:rPr>
          <w:rFonts w:ascii="Arial" w:hAnsi="Arial" w:cs="Arial"/>
          <w:b/>
          <w:bCs/>
          <w:sz w:val="22"/>
          <w:szCs w:val="22"/>
        </w:rPr>
      </w:pPr>
      <w:r w:rsidRPr="003C1966">
        <w:rPr>
          <w:rFonts w:ascii="Arial" w:hAnsi="Arial" w:cs="Arial"/>
          <w:b/>
          <w:bCs/>
          <w:sz w:val="22"/>
          <w:szCs w:val="22"/>
        </w:rPr>
        <w:t>Community Services</w:t>
      </w:r>
    </w:p>
    <w:p w:rsidR="00285A81" w:rsidRPr="003C1966" w:rsidRDefault="00285A81" w:rsidP="00285A81">
      <w:pPr>
        <w:ind w:firstLine="720"/>
        <w:rPr>
          <w:rFonts w:ascii="Arial" w:hAnsi="Arial" w:cs="Arial"/>
          <w:b/>
          <w:bCs/>
          <w:sz w:val="22"/>
          <w:szCs w:val="22"/>
        </w:rPr>
      </w:pPr>
    </w:p>
    <w:p w:rsidR="00285A81" w:rsidRDefault="00285A81" w:rsidP="00285A81">
      <w:pPr>
        <w:autoSpaceDE w:val="0"/>
        <w:autoSpaceDN w:val="0"/>
        <w:adjustRightInd w:val="0"/>
        <w:ind w:left="720" w:hanging="436"/>
        <w:rPr>
          <w:rFonts w:ascii="Arial" w:hAnsi="Arial" w:cs="Arial"/>
          <w:bCs/>
          <w:sz w:val="22"/>
          <w:szCs w:val="22"/>
        </w:rPr>
      </w:pPr>
      <w:r w:rsidRPr="003C1966">
        <w:rPr>
          <w:rFonts w:ascii="Arial" w:hAnsi="Arial" w:cs="Arial"/>
          <w:bCs/>
          <w:sz w:val="22"/>
          <w:szCs w:val="22"/>
        </w:rPr>
        <w:t>3.1</w:t>
      </w:r>
      <w:r w:rsidRPr="003C1966">
        <w:rPr>
          <w:rFonts w:ascii="Arial" w:hAnsi="Arial" w:cs="Arial"/>
          <w:bCs/>
          <w:sz w:val="22"/>
          <w:szCs w:val="22"/>
        </w:rPr>
        <w:tab/>
      </w:r>
      <w:r w:rsidR="003C1966" w:rsidRPr="003C1966">
        <w:rPr>
          <w:rFonts w:ascii="Arial" w:hAnsi="Arial" w:cs="Arial"/>
          <w:bCs/>
          <w:sz w:val="22"/>
          <w:szCs w:val="22"/>
        </w:rPr>
        <w:t>Number of residents engaged with community partnership – the number as at December was 118 against a target of 150.  This reflects a change in emphasis of the work of the Localities Team towards quality over quantity of interaction and work with residents.</w:t>
      </w:r>
    </w:p>
    <w:p w:rsidR="003C1966" w:rsidRDefault="003C1966" w:rsidP="00285A81">
      <w:pPr>
        <w:autoSpaceDE w:val="0"/>
        <w:autoSpaceDN w:val="0"/>
        <w:adjustRightInd w:val="0"/>
        <w:ind w:left="720" w:hanging="436"/>
        <w:rPr>
          <w:rFonts w:ascii="Arial" w:hAnsi="Arial" w:cs="Arial"/>
          <w:bCs/>
          <w:sz w:val="22"/>
          <w:szCs w:val="22"/>
        </w:rPr>
      </w:pPr>
    </w:p>
    <w:p w:rsidR="00285A81" w:rsidRPr="00565BC0" w:rsidRDefault="00285A81" w:rsidP="00654CF1">
      <w:pPr>
        <w:autoSpaceDE w:val="0"/>
        <w:autoSpaceDN w:val="0"/>
        <w:adjustRightInd w:val="0"/>
        <w:rPr>
          <w:rFonts w:ascii="Arial" w:hAnsi="Arial" w:cs="Arial"/>
          <w:bCs/>
          <w:i/>
          <w:sz w:val="22"/>
          <w:szCs w:val="22"/>
        </w:rPr>
      </w:pPr>
    </w:p>
    <w:p w:rsidR="00415854" w:rsidRPr="00E374C4" w:rsidRDefault="00415854" w:rsidP="00415854">
      <w:pPr>
        <w:ind w:firstLine="720"/>
        <w:rPr>
          <w:rFonts w:ascii="Arial" w:hAnsi="Arial" w:cs="Arial"/>
          <w:b/>
          <w:bCs/>
          <w:sz w:val="22"/>
          <w:szCs w:val="22"/>
        </w:rPr>
      </w:pPr>
      <w:r w:rsidRPr="00E374C4">
        <w:rPr>
          <w:rFonts w:ascii="Arial" w:hAnsi="Arial" w:cs="Arial"/>
          <w:b/>
          <w:bCs/>
          <w:sz w:val="22"/>
          <w:szCs w:val="22"/>
        </w:rPr>
        <w:t>Direct Services</w:t>
      </w:r>
    </w:p>
    <w:p w:rsidR="00285A81" w:rsidRPr="00565BC0" w:rsidRDefault="00285A81" w:rsidP="00285A81">
      <w:pPr>
        <w:autoSpaceDE w:val="0"/>
        <w:autoSpaceDN w:val="0"/>
        <w:adjustRightInd w:val="0"/>
        <w:ind w:left="720" w:hanging="436"/>
        <w:rPr>
          <w:rFonts w:ascii="Arial" w:hAnsi="Arial" w:cs="Arial"/>
          <w:bCs/>
          <w:i/>
          <w:sz w:val="22"/>
          <w:szCs w:val="22"/>
        </w:rPr>
      </w:pPr>
    </w:p>
    <w:p w:rsidR="00415854" w:rsidRPr="003C1966" w:rsidRDefault="003C1966" w:rsidP="00415854">
      <w:pPr>
        <w:autoSpaceDE w:val="0"/>
        <w:autoSpaceDN w:val="0"/>
        <w:adjustRightInd w:val="0"/>
        <w:ind w:left="720" w:hanging="436"/>
        <w:rPr>
          <w:rFonts w:ascii="Arial" w:hAnsi="Arial" w:cs="Arial"/>
          <w:bCs/>
          <w:sz w:val="22"/>
          <w:szCs w:val="22"/>
        </w:rPr>
      </w:pPr>
      <w:r w:rsidRPr="003C1966">
        <w:rPr>
          <w:rFonts w:ascii="Arial" w:hAnsi="Arial" w:cs="Arial"/>
          <w:bCs/>
          <w:sz w:val="22"/>
          <w:szCs w:val="22"/>
        </w:rPr>
        <w:t>3.3</w:t>
      </w:r>
      <w:r w:rsidR="00415854" w:rsidRPr="003C1966">
        <w:rPr>
          <w:rFonts w:ascii="Arial" w:hAnsi="Arial" w:cs="Arial"/>
          <w:bCs/>
          <w:sz w:val="22"/>
          <w:szCs w:val="22"/>
        </w:rPr>
        <w:tab/>
        <w:t xml:space="preserve">Total void re-let time - The </w:t>
      </w:r>
      <w:r>
        <w:rPr>
          <w:rFonts w:ascii="Arial" w:hAnsi="Arial" w:cs="Arial"/>
          <w:bCs/>
          <w:sz w:val="22"/>
          <w:szCs w:val="22"/>
        </w:rPr>
        <w:t>re-let time year to date is 33</w:t>
      </w:r>
      <w:r w:rsidR="00415854" w:rsidRPr="003C1966">
        <w:rPr>
          <w:rFonts w:ascii="Arial" w:hAnsi="Arial" w:cs="Arial"/>
          <w:bCs/>
          <w:sz w:val="22"/>
          <w:szCs w:val="22"/>
        </w:rPr>
        <w:t xml:space="preserve"> days against a target of 28 days. </w:t>
      </w:r>
      <w:r>
        <w:rPr>
          <w:rFonts w:ascii="Arial" w:hAnsi="Arial" w:cs="Arial"/>
          <w:bCs/>
          <w:sz w:val="22"/>
          <w:szCs w:val="22"/>
        </w:rPr>
        <w:t>To date we have re-let 227 voids.  In December we re-let 26 voids in an average time of 37.2 days.  The average year to date time to complete maintenance work is 24.3 days, in December the average time was 21.2 days.</w:t>
      </w:r>
    </w:p>
    <w:p w:rsidR="00415854" w:rsidRPr="003C1966" w:rsidRDefault="00415854" w:rsidP="00285A81">
      <w:pPr>
        <w:autoSpaceDE w:val="0"/>
        <w:autoSpaceDN w:val="0"/>
        <w:adjustRightInd w:val="0"/>
        <w:ind w:left="720" w:hanging="436"/>
        <w:rPr>
          <w:rFonts w:ascii="Arial" w:hAnsi="Arial" w:cs="Arial"/>
          <w:bCs/>
          <w:sz w:val="22"/>
          <w:szCs w:val="22"/>
        </w:rPr>
      </w:pPr>
    </w:p>
    <w:p w:rsidR="00415854" w:rsidRDefault="00415854" w:rsidP="00285A81">
      <w:pPr>
        <w:autoSpaceDE w:val="0"/>
        <w:autoSpaceDN w:val="0"/>
        <w:adjustRightInd w:val="0"/>
        <w:ind w:left="720" w:hanging="436"/>
        <w:rPr>
          <w:rFonts w:ascii="Arial" w:hAnsi="Arial" w:cs="Arial"/>
          <w:bCs/>
          <w:sz w:val="22"/>
          <w:szCs w:val="22"/>
        </w:rPr>
      </w:pPr>
    </w:p>
    <w:p w:rsidR="00285A81" w:rsidRPr="00285DA4" w:rsidRDefault="00285A81" w:rsidP="00285A81">
      <w:pPr>
        <w:autoSpaceDE w:val="0"/>
        <w:autoSpaceDN w:val="0"/>
        <w:adjustRightInd w:val="0"/>
        <w:spacing w:after="120"/>
        <w:ind w:left="709" w:hanging="425"/>
        <w:rPr>
          <w:rFonts w:ascii="Arial" w:hAnsi="Arial" w:cs="Arial"/>
          <w:b/>
          <w:bCs/>
          <w:color w:val="000000"/>
          <w:sz w:val="22"/>
          <w:szCs w:val="22"/>
          <w:u w:val="single"/>
        </w:rPr>
      </w:pPr>
      <w:r w:rsidRPr="00285DA4">
        <w:rPr>
          <w:rFonts w:ascii="Arial" w:hAnsi="Arial" w:cs="Arial"/>
          <w:b/>
          <w:bCs/>
          <w:color w:val="000000"/>
          <w:sz w:val="22"/>
          <w:szCs w:val="22"/>
        </w:rPr>
        <w:t>4.</w:t>
      </w:r>
      <w:r w:rsidRPr="00285DA4">
        <w:rPr>
          <w:rFonts w:ascii="Arial" w:hAnsi="Arial" w:cs="Arial"/>
          <w:b/>
          <w:bCs/>
          <w:color w:val="000000"/>
          <w:sz w:val="22"/>
          <w:szCs w:val="22"/>
        </w:rPr>
        <w:tab/>
      </w:r>
      <w:r w:rsidRPr="00285DA4">
        <w:rPr>
          <w:rFonts w:ascii="Arial" w:hAnsi="Arial" w:cs="Arial"/>
          <w:b/>
          <w:bCs/>
          <w:color w:val="000000"/>
          <w:sz w:val="22"/>
          <w:szCs w:val="22"/>
          <w:u w:val="single"/>
        </w:rPr>
        <w:t>Risk Performance- Exceptions</w:t>
      </w:r>
    </w:p>
    <w:p w:rsidR="00D56937" w:rsidRPr="00D56937" w:rsidRDefault="00D56937" w:rsidP="00D56937">
      <w:pPr>
        <w:autoSpaceDE w:val="0"/>
        <w:autoSpaceDN w:val="0"/>
        <w:adjustRightInd w:val="0"/>
        <w:ind w:left="709" w:hanging="425"/>
        <w:rPr>
          <w:rFonts w:ascii="Arial" w:hAnsi="Arial" w:cs="Arial"/>
          <w:sz w:val="22"/>
          <w:szCs w:val="22"/>
        </w:rPr>
      </w:pPr>
      <w:r w:rsidRPr="00D56937">
        <w:rPr>
          <w:rFonts w:ascii="Arial" w:hAnsi="Arial" w:cs="Arial"/>
          <w:sz w:val="22"/>
          <w:szCs w:val="22"/>
        </w:rPr>
        <w:lastRenderedPageBreak/>
        <w:t>4.1</w:t>
      </w:r>
      <w:r w:rsidRPr="00D56937">
        <w:rPr>
          <w:rFonts w:ascii="Arial" w:hAnsi="Arial" w:cs="Arial"/>
          <w:sz w:val="22"/>
          <w:szCs w:val="22"/>
        </w:rPr>
        <w:tab/>
        <w:t xml:space="preserve">There </w:t>
      </w:r>
      <w:r w:rsidR="007E7A13">
        <w:rPr>
          <w:rFonts w:ascii="Arial" w:hAnsi="Arial" w:cs="Arial"/>
          <w:sz w:val="22"/>
          <w:szCs w:val="22"/>
        </w:rPr>
        <w:t>are no</w:t>
      </w:r>
      <w:r w:rsidRPr="00D56937">
        <w:rPr>
          <w:rFonts w:ascii="Arial" w:hAnsi="Arial" w:cs="Arial"/>
          <w:sz w:val="22"/>
          <w:szCs w:val="22"/>
        </w:rPr>
        <w:t xml:space="preserve"> red risk identified within </w:t>
      </w:r>
      <w:r w:rsidR="007E7A13">
        <w:rPr>
          <w:rFonts w:ascii="Arial" w:hAnsi="Arial" w:cs="Arial"/>
          <w:sz w:val="22"/>
          <w:szCs w:val="22"/>
        </w:rPr>
        <w:t xml:space="preserve">the </w:t>
      </w:r>
      <w:proofErr w:type="spellStart"/>
      <w:r w:rsidR="007E7A13">
        <w:rPr>
          <w:rFonts w:ascii="Arial" w:hAnsi="Arial" w:cs="Arial"/>
          <w:sz w:val="22"/>
          <w:szCs w:val="22"/>
        </w:rPr>
        <w:t>Directorate</w:t>
      </w:r>
      <w:proofErr w:type="gramStart"/>
      <w:r w:rsidR="007E7A13">
        <w:rPr>
          <w:rFonts w:ascii="Arial" w:hAnsi="Arial" w:cs="Arial"/>
          <w:sz w:val="22"/>
          <w:szCs w:val="22"/>
        </w:rPr>
        <w:t>,and</w:t>
      </w:r>
      <w:proofErr w:type="spellEnd"/>
      <w:proofErr w:type="gramEnd"/>
      <w:r w:rsidR="007E7A13">
        <w:rPr>
          <w:rFonts w:ascii="Arial" w:hAnsi="Arial" w:cs="Arial"/>
          <w:sz w:val="22"/>
          <w:szCs w:val="22"/>
        </w:rPr>
        <w:t xml:space="preserve"> there </w:t>
      </w:r>
      <w:r w:rsidRPr="00D56937">
        <w:rPr>
          <w:rFonts w:ascii="Arial" w:hAnsi="Arial" w:cs="Arial"/>
          <w:sz w:val="22"/>
          <w:szCs w:val="22"/>
        </w:rPr>
        <w:t xml:space="preserve">are </w:t>
      </w:r>
      <w:r w:rsidR="007E7A13">
        <w:rPr>
          <w:rFonts w:ascii="Arial" w:hAnsi="Arial" w:cs="Arial"/>
          <w:sz w:val="22"/>
          <w:szCs w:val="22"/>
        </w:rPr>
        <w:t>eleven</w:t>
      </w:r>
      <w:r w:rsidRPr="00D56937">
        <w:rPr>
          <w:rFonts w:ascii="Arial" w:hAnsi="Arial" w:cs="Arial"/>
          <w:sz w:val="22"/>
          <w:szCs w:val="22"/>
        </w:rPr>
        <w:t xml:space="preserve"> amber risks listed below.  All of the amber risks are currently being managed as part of day to day business activity and are not currently expected to rise to a level of red risk</w:t>
      </w:r>
    </w:p>
    <w:p w:rsidR="00D56937" w:rsidRPr="00D56937" w:rsidRDefault="00D56937" w:rsidP="00D56937">
      <w:pPr>
        <w:autoSpaceDE w:val="0"/>
        <w:autoSpaceDN w:val="0"/>
        <w:adjustRightInd w:val="0"/>
        <w:ind w:left="709" w:hanging="425"/>
        <w:rPr>
          <w:rFonts w:ascii="Arial" w:hAnsi="Arial" w:cs="Arial"/>
          <w:sz w:val="22"/>
          <w:szCs w:val="22"/>
        </w:rPr>
      </w:pPr>
    </w:p>
    <w:p w:rsidR="00D56937" w:rsidRPr="00D56937" w:rsidRDefault="00D56937" w:rsidP="00D56937">
      <w:pPr>
        <w:ind w:left="720"/>
        <w:rPr>
          <w:rFonts w:ascii="Arial" w:hAnsi="Arial" w:cs="Arial"/>
          <w:b/>
          <w:bCs/>
          <w:sz w:val="22"/>
          <w:szCs w:val="22"/>
        </w:rPr>
      </w:pPr>
      <w:r w:rsidRPr="00D56937">
        <w:rPr>
          <w:rFonts w:ascii="Arial" w:hAnsi="Arial" w:cs="Arial"/>
          <w:b/>
          <w:bCs/>
          <w:sz w:val="22"/>
          <w:szCs w:val="22"/>
        </w:rPr>
        <w:t>Red:</w:t>
      </w:r>
    </w:p>
    <w:p w:rsidR="00D56937" w:rsidRPr="00D56937" w:rsidRDefault="00D56937" w:rsidP="00D56937">
      <w:pPr>
        <w:ind w:left="720"/>
        <w:rPr>
          <w:rFonts w:ascii="Arial" w:hAnsi="Arial" w:cs="Arial"/>
          <w:bCs/>
          <w:sz w:val="22"/>
          <w:szCs w:val="22"/>
        </w:rPr>
      </w:pPr>
    </w:p>
    <w:p w:rsidR="00D56937" w:rsidRPr="00D56937" w:rsidRDefault="00D56937" w:rsidP="00D56937">
      <w:pPr>
        <w:ind w:left="720" w:hanging="436"/>
        <w:rPr>
          <w:rFonts w:ascii="Arial" w:hAnsi="Arial" w:cs="Arial"/>
          <w:sz w:val="22"/>
          <w:szCs w:val="22"/>
        </w:rPr>
      </w:pPr>
      <w:r w:rsidRPr="00D56937">
        <w:rPr>
          <w:rFonts w:ascii="Arial" w:hAnsi="Arial" w:cs="Arial"/>
          <w:sz w:val="22"/>
          <w:szCs w:val="22"/>
        </w:rPr>
        <w:t>4.2</w:t>
      </w:r>
      <w:r w:rsidRPr="00D56937">
        <w:rPr>
          <w:rFonts w:ascii="Arial" w:hAnsi="Arial" w:cs="Arial"/>
          <w:sz w:val="22"/>
          <w:szCs w:val="22"/>
        </w:rPr>
        <w:tab/>
      </w:r>
      <w:r w:rsidR="007E7A13">
        <w:rPr>
          <w:rFonts w:ascii="Arial" w:hAnsi="Arial" w:cs="Arial"/>
          <w:sz w:val="22"/>
          <w:szCs w:val="22"/>
        </w:rPr>
        <w:t>There are no Red risks</w:t>
      </w:r>
      <w:r w:rsidRPr="00D56937">
        <w:rPr>
          <w:rFonts w:ascii="Arial" w:hAnsi="Arial" w:cs="Arial"/>
          <w:sz w:val="22"/>
          <w:szCs w:val="22"/>
        </w:rPr>
        <w:t>.</w:t>
      </w:r>
    </w:p>
    <w:p w:rsidR="00D56937" w:rsidRPr="00D56937" w:rsidRDefault="00D56937" w:rsidP="00D56937">
      <w:pPr>
        <w:autoSpaceDE w:val="0"/>
        <w:autoSpaceDN w:val="0"/>
        <w:adjustRightInd w:val="0"/>
        <w:ind w:left="709"/>
        <w:rPr>
          <w:rFonts w:ascii="Arial" w:hAnsi="Arial" w:cs="Arial"/>
          <w:sz w:val="22"/>
          <w:szCs w:val="22"/>
        </w:rPr>
      </w:pPr>
    </w:p>
    <w:p w:rsidR="00D56937" w:rsidRPr="00D56937" w:rsidRDefault="00D56937" w:rsidP="00D56937">
      <w:pPr>
        <w:ind w:left="709"/>
        <w:rPr>
          <w:rFonts w:ascii="Arial" w:hAnsi="Arial" w:cs="Arial"/>
          <w:b/>
          <w:bCs/>
          <w:sz w:val="22"/>
          <w:szCs w:val="22"/>
        </w:rPr>
      </w:pPr>
      <w:r w:rsidRPr="00D56937">
        <w:rPr>
          <w:rFonts w:ascii="Arial" w:hAnsi="Arial" w:cs="Arial"/>
          <w:b/>
          <w:bCs/>
          <w:sz w:val="22"/>
          <w:szCs w:val="22"/>
        </w:rPr>
        <w:t>Amber:</w:t>
      </w:r>
    </w:p>
    <w:p w:rsidR="00D56937" w:rsidRPr="00D56937" w:rsidRDefault="00D56937" w:rsidP="00D56937">
      <w:pPr>
        <w:autoSpaceDE w:val="0"/>
        <w:autoSpaceDN w:val="0"/>
        <w:adjustRightInd w:val="0"/>
        <w:ind w:left="709"/>
        <w:rPr>
          <w:rFonts w:ascii="Arial" w:hAnsi="Arial" w:cs="Arial"/>
          <w:sz w:val="22"/>
          <w:szCs w:val="22"/>
        </w:rPr>
      </w:pPr>
    </w:p>
    <w:p w:rsidR="00D56937" w:rsidRPr="00D56937" w:rsidRDefault="00D56937" w:rsidP="00D56937">
      <w:pPr>
        <w:ind w:firstLine="709"/>
        <w:rPr>
          <w:rFonts w:ascii="Arial" w:hAnsi="Arial" w:cs="Arial"/>
          <w:b/>
          <w:bCs/>
          <w:sz w:val="22"/>
          <w:szCs w:val="22"/>
        </w:rPr>
      </w:pPr>
      <w:r w:rsidRPr="00D56937">
        <w:rPr>
          <w:rFonts w:ascii="Arial" w:hAnsi="Arial" w:cs="Arial"/>
          <w:b/>
          <w:bCs/>
          <w:sz w:val="22"/>
          <w:szCs w:val="22"/>
        </w:rPr>
        <w:t>Direct Services</w:t>
      </w:r>
    </w:p>
    <w:p w:rsidR="00D56937" w:rsidRPr="00D56937" w:rsidRDefault="00D56937" w:rsidP="00D56937">
      <w:pPr>
        <w:autoSpaceDE w:val="0"/>
        <w:autoSpaceDN w:val="0"/>
        <w:adjustRightInd w:val="0"/>
        <w:ind w:left="709" w:hanging="425"/>
        <w:rPr>
          <w:rFonts w:ascii="Arial" w:hAnsi="Arial" w:cs="Arial"/>
          <w:sz w:val="22"/>
          <w:szCs w:val="22"/>
        </w:rPr>
      </w:pPr>
    </w:p>
    <w:p w:rsidR="00D56937" w:rsidRPr="00D56937" w:rsidRDefault="00D56937" w:rsidP="00D56937">
      <w:pPr>
        <w:ind w:left="720" w:hanging="436"/>
        <w:rPr>
          <w:rFonts w:ascii="Arial" w:hAnsi="Arial" w:cs="Arial"/>
          <w:sz w:val="22"/>
          <w:szCs w:val="22"/>
        </w:rPr>
      </w:pPr>
      <w:r w:rsidRPr="00D56937">
        <w:rPr>
          <w:rFonts w:ascii="Arial" w:hAnsi="Arial" w:cs="Arial"/>
          <w:sz w:val="22"/>
          <w:szCs w:val="22"/>
        </w:rPr>
        <w:t>4.3</w:t>
      </w:r>
      <w:r w:rsidRPr="00D56937">
        <w:rPr>
          <w:rFonts w:ascii="Arial" w:hAnsi="Arial" w:cs="Arial"/>
          <w:sz w:val="22"/>
          <w:szCs w:val="22"/>
        </w:rPr>
        <w:tab/>
        <w:t xml:space="preserve">The </w:t>
      </w:r>
      <w:r w:rsidR="007E7A13">
        <w:rPr>
          <w:rFonts w:ascii="Arial" w:hAnsi="Arial" w:cs="Arial"/>
          <w:sz w:val="22"/>
          <w:szCs w:val="22"/>
        </w:rPr>
        <w:t>five</w:t>
      </w:r>
      <w:r w:rsidRPr="00D56937">
        <w:rPr>
          <w:rFonts w:ascii="Arial" w:hAnsi="Arial" w:cs="Arial"/>
          <w:sz w:val="22"/>
          <w:szCs w:val="22"/>
        </w:rPr>
        <w:t xml:space="preserve"> amber risks relate to the management of trees, high levels of sickness absence, external income generation</w:t>
      </w:r>
      <w:r w:rsidR="007E7A13">
        <w:rPr>
          <w:rFonts w:ascii="Arial" w:hAnsi="Arial" w:cs="Arial"/>
          <w:sz w:val="22"/>
          <w:szCs w:val="22"/>
        </w:rPr>
        <w:t>, ICT resilience</w:t>
      </w:r>
      <w:bookmarkStart w:id="2" w:name="_GoBack"/>
      <w:bookmarkEnd w:id="2"/>
      <w:r w:rsidRPr="00D56937">
        <w:rPr>
          <w:rFonts w:ascii="Arial" w:hAnsi="Arial" w:cs="Arial"/>
          <w:sz w:val="22"/>
          <w:szCs w:val="22"/>
        </w:rPr>
        <w:t xml:space="preserve"> and the increased costs of waste disposal.  </w:t>
      </w:r>
    </w:p>
    <w:p w:rsidR="00D56937" w:rsidRPr="00D56937" w:rsidRDefault="00D56937" w:rsidP="00D56937">
      <w:pPr>
        <w:ind w:firstLine="720"/>
        <w:jc w:val="both"/>
        <w:rPr>
          <w:rFonts w:ascii="Arial" w:hAnsi="Arial" w:cs="Arial"/>
          <w:sz w:val="22"/>
          <w:szCs w:val="22"/>
        </w:rPr>
      </w:pPr>
    </w:p>
    <w:p w:rsidR="00D56937" w:rsidRPr="00D56937" w:rsidRDefault="00D56937" w:rsidP="00D56937">
      <w:pPr>
        <w:ind w:firstLine="720"/>
        <w:rPr>
          <w:rFonts w:ascii="Arial" w:hAnsi="Arial" w:cs="Arial"/>
          <w:b/>
          <w:bCs/>
          <w:sz w:val="22"/>
          <w:szCs w:val="22"/>
        </w:rPr>
      </w:pPr>
      <w:r w:rsidRPr="00D56937">
        <w:rPr>
          <w:rFonts w:ascii="Arial" w:hAnsi="Arial" w:cs="Arial"/>
          <w:b/>
          <w:bCs/>
          <w:sz w:val="22"/>
          <w:szCs w:val="22"/>
        </w:rPr>
        <w:t>Community Services</w:t>
      </w:r>
    </w:p>
    <w:p w:rsidR="00D56937" w:rsidRPr="00D56937" w:rsidRDefault="00D56937" w:rsidP="00D56937">
      <w:pPr>
        <w:autoSpaceDE w:val="0"/>
        <w:autoSpaceDN w:val="0"/>
        <w:adjustRightInd w:val="0"/>
        <w:ind w:left="720" w:hanging="436"/>
        <w:rPr>
          <w:rFonts w:ascii="Arial" w:hAnsi="Arial" w:cs="Arial"/>
          <w:bCs/>
          <w:sz w:val="22"/>
          <w:szCs w:val="22"/>
        </w:rPr>
      </w:pPr>
      <w:r w:rsidRPr="00D56937">
        <w:rPr>
          <w:rFonts w:ascii="Arial" w:hAnsi="Arial" w:cs="Arial"/>
          <w:bCs/>
          <w:sz w:val="22"/>
          <w:szCs w:val="22"/>
        </w:rPr>
        <w:t>4.4</w:t>
      </w:r>
      <w:r w:rsidRPr="00D56937">
        <w:rPr>
          <w:rFonts w:ascii="Arial" w:hAnsi="Arial" w:cs="Arial"/>
          <w:bCs/>
          <w:sz w:val="22"/>
          <w:szCs w:val="22"/>
        </w:rPr>
        <w:tab/>
        <w:t>There are six amber risks within this service, relating to:</w:t>
      </w:r>
    </w:p>
    <w:p w:rsidR="00D56937" w:rsidRPr="00D56937" w:rsidRDefault="00D56937" w:rsidP="00D56937">
      <w:pPr>
        <w:numPr>
          <w:ilvl w:val="0"/>
          <w:numId w:val="3"/>
        </w:numPr>
        <w:autoSpaceDE w:val="0"/>
        <w:autoSpaceDN w:val="0"/>
        <w:adjustRightInd w:val="0"/>
        <w:rPr>
          <w:rFonts w:ascii="Arial" w:hAnsi="Arial" w:cs="Arial"/>
          <w:bCs/>
          <w:sz w:val="22"/>
          <w:szCs w:val="22"/>
        </w:rPr>
      </w:pPr>
      <w:r w:rsidRPr="00D56937">
        <w:rPr>
          <w:rFonts w:ascii="Arial" w:hAnsi="Arial" w:cs="Arial"/>
          <w:bCs/>
          <w:sz w:val="22"/>
          <w:szCs w:val="22"/>
        </w:rPr>
        <w:t>Insufficient funding for developments</w:t>
      </w:r>
    </w:p>
    <w:p w:rsidR="00D56937" w:rsidRPr="00D56937" w:rsidRDefault="00D56937" w:rsidP="00D56937">
      <w:pPr>
        <w:numPr>
          <w:ilvl w:val="0"/>
          <w:numId w:val="3"/>
        </w:numPr>
        <w:autoSpaceDE w:val="0"/>
        <w:autoSpaceDN w:val="0"/>
        <w:adjustRightInd w:val="0"/>
        <w:rPr>
          <w:rFonts w:ascii="Arial" w:hAnsi="Arial" w:cs="Arial"/>
          <w:bCs/>
          <w:sz w:val="22"/>
          <w:szCs w:val="22"/>
        </w:rPr>
      </w:pPr>
      <w:r w:rsidRPr="00D56937">
        <w:rPr>
          <w:rFonts w:ascii="Arial" w:hAnsi="Arial" w:cs="Arial"/>
          <w:bCs/>
          <w:sz w:val="22"/>
          <w:szCs w:val="22"/>
        </w:rPr>
        <w:t>Breach in Health and Safety leading to incident/ injury/ fatality/ closure of leisure facility and/ or service disruption</w:t>
      </w:r>
    </w:p>
    <w:p w:rsidR="00D56937" w:rsidRPr="00D56937" w:rsidRDefault="00D56937" w:rsidP="00D56937">
      <w:pPr>
        <w:numPr>
          <w:ilvl w:val="0"/>
          <w:numId w:val="3"/>
        </w:numPr>
        <w:autoSpaceDE w:val="0"/>
        <w:autoSpaceDN w:val="0"/>
        <w:adjustRightInd w:val="0"/>
        <w:rPr>
          <w:rFonts w:ascii="Arial" w:hAnsi="Arial" w:cs="Arial"/>
          <w:bCs/>
          <w:sz w:val="22"/>
          <w:szCs w:val="22"/>
        </w:rPr>
      </w:pPr>
      <w:r w:rsidRPr="00D56937">
        <w:rPr>
          <w:rFonts w:ascii="Arial" w:hAnsi="Arial" w:cs="Arial"/>
          <w:bCs/>
          <w:sz w:val="22"/>
          <w:szCs w:val="22"/>
        </w:rPr>
        <w:t>Loss of key staff members</w:t>
      </w:r>
    </w:p>
    <w:p w:rsidR="00D56937" w:rsidRPr="00D56937" w:rsidRDefault="00D56937" w:rsidP="00D56937">
      <w:pPr>
        <w:numPr>
          <w:ilvl w:val="0"/>
          <w:numId w:val="3"/>
        </w:numPr>
        <w:autoSpaceDE w:val="0"/>
        <w:autoSpaceDN w:val="0"/>
        <w:adjustRightInd w:val="0"/>
        <w:rPr>
          <w:rFonts w:ascii="Arial" w:hAnsi="Arial" w:cs="Arial"/>
          <w:bCs/>
          <w:sz w:val="22"/>
          <w:szCs w:val="22"/>
        </w:rPr>
      </w:pPr>
      <w:r w:rsidRPr="00D56937">
        <w:rPr>
          <w:rFonts w:ascii="Arial" w:hAnsi="Arial" w:cs="Arial"/>
          <w:bCs/>
          <w:sz w:val="22"/>
          <w:szCs w:val="22"/>
        </w:rPr>
        <w:t>Failure to achieve sponsorship income targets</w:t>
      </w:r>
    </w:p>
    <w:p w:rsidR="00D56937" w:rsidRPr="00D56937" w:rsidRDefault="00D56937" w:rsidP="00D56937">
      <w:pPr>
        <w:numPr>
          <w:ilvl w:val="0"/>
          <w:numId w:val="3"/>
        </w:numPr>
        <w:autoSpaceDE w:val="0"/>
        <w:autoSpaceDN w:val="0"/>
        <w:adjustRightInd w:val="0"/>
        <w:rPr>
          <w:rFonts w:ascii="Arial" w:hAnsi="Arial" w:cs="Arial"/>
          <w:bCs/>
          <w:sz w:val="22"/>
          <w:szCs w:val="22"/>
        </w:rPr>
      </w:pPr>
      <w:r w:rsidRPr="00D56937">
        <w:rPr>
          <w:rFonts w:ascii="Arial" w:hAnsi="Arial" w:cs="Arial"/>
          <w:bCs/>
          <w:sz w:val="22"/>
          <w:szCs w:val="22"/>
        </w:rPr>
        <w:t>threats to public safety, environmental quality and economic viability (there is an enforcement schedule for the night-time economy to ensure compliance with licensing criteria and that matters are dealt with at an early stage; a regular “</w:t>
      </w:r>
      <w:proofErr w:type="spellStart"/>
      <w:r w:rsidRPr="00D56937">
        <w:rPr>
          <w:rFonts w:ascii="Arial" w:hAnsi="Arial" w:cs="Arial"/>
          <w:bCs/>
          <w:sz w:val="22"/>
          <w:szCs w:val="22"/>
        </w:rPr>
        <w:t>Nightsafe</w:t>
      </w:r>
      <w:proofErr w:type="spellEnd"/>
      <w:r w:rsidRPr="00D56937">
        <w:rPr>
          <w:rFonts w:ascii="Arial" w:hAnsi="Arial" w:cs="Arial"/>
          <w:bCs/>
          <w:sz w:val="22"/>
          <w:szCs w:val="22"/>
        </w:rPr>
        <w:t>” meeting, run by the police, ensures public safety issues are responded to effectively)</w:t>
      </w:r>
    </w:p>
    <w:p w:rsidR="00D56937" w:rsidRPr="00D56937" w:rsidRDefault="00D56937" w:rsidP="00D56937">
      <w:pPr>
        <w:numPr>
          <w:ilvl w:val="0"/>
          <w:numId w:val="3"/>
        </w:numPr>
        <w:autoSpaceDE w:val="0"/>
        <w:autoSpaceDN w:val="0"/>
        <w:adjustRightInd w:val="0"/>
        <w:rPr>
          <w:rFonts w:ascii="Arial" w:hAnsi="Arial" w:cs="Arial"/>
          <w:bCs/>
          <w:sz w:val="22"/>
          <w:szCs w:val="22"/>
        </w:rPr>
      </w:pPr>
      <w:r w:rsidRPr="00D56937">
        <w:rPr>
          <w:rFonts w:ascii="Arial" w:hAnsi="Arial" w:cs="Arial"/>
          <w:bCs/>
          <w:sz w:val="22"/>
          <w:szCs w:val="22"/>
        </w:rPr>
        <w:t>safeguarding of vulnerable groups (with the mitigations that are in place such as good policy and procedures, appropriate DBS checks, safeguarding training, good governance, regular audits and checks it is unlikely that this risk will happen).</w:t>
      </w:r>
    </w:p>
    <w:p w:rsidR="00D56937" w:rsidRPr="00166F6D" w:rsidRDefault="00D56937" w:rsidP="00D56937">
      <w:pPr>
        <w:ind w:left="720" w:hanging="11"/>
        <w:jc w:val="both"/>
        <w:rPr>
          <w:sz w:val="22"/>
          <w:szCs w:val="22"/>
        </w:rPr>
      </w:pPr>
    </w:p>
    <w:p w:rsidR="00D56937" w:rsidRPr="00285DA4" w:rsidRDefault="00D56937" w:rsidP="00285A81">
      <w:pPr>
        <w:ind w:left="720" w:hanging="11"/>
        <w:jc w:val="both"/>
        <w:rPr>
          <w:rFonts w:ascii="Arial" w:hAnsi="Arial" w:cs="Arial"/>
          <w:sz w:val="22"/>
          <w:szCs w:val="22"/>
        </w:rPr>
      </w:pPr>
    </w:p>
    <w:bookmarkEnd w:id="0"/>
    <w:bookmarkEnd w:id="1"/>
    <w:p w:rsidR="004F26F7" w:rsidRPr="00285A81" w:rsidRDefault="004F26F7" w:rsidP="00285A81"/>
    <w:sectPr w:rsidR="004F26F7" w:rsidRPr="00285A81" w:rsidSect="004F040E">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5F" w:rsidRDefault="00D0575F">
      <w:r>
        <w:separator/>
      </w:r>
    </w:p>
  </w:endnote>
  <w:endnote w:type="continuationSeparator" w:id="0">
    <w:p w:rsidR="00D0575F" w:rsidRDefault="00D0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3D" w:rsidRDefault="004F133D" w:rsidP="0003722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A13">
      <w:rPr>
        <w:rStyle w:val="PageNumber"/>
        <w:noProof/>
      </w:rPr>
      <w:t>2</w:t>
    </w:r>
    <w:r>
      <w:rPr>
        <w:rStyle w:val="PageNumber"/>
      </w:rPr>
      <w:fldChar w:fldCharType="end"/>
    </w:r>
  </w:p>
  <w:p w:rsidR="004F133D" w:rsidRDefault="004F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5F" w:rsidRDefault="00D0575F">
      <w:r>
        <w:separator/>
      </w:r>
    </w:p>
  </w:footnote>
  <w:footnote w:type="continuationSeparator" w:id="0">
    <w:p w:rsidR="00D0575F" w:rsidRDefault="00D0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809"/>
    <w:multiLevelType w:val="hybridMultilevel"/>
    <w:tmpl w:val="6D50FF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602E0472"/>
    <w:multiLevelType w:val="hybridMultilevel"/>
    <w:tmpl w:val="93BE6C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63295A75"/>
    <w:multiLevelType w:val="multilevel"/>
    <w:tmpl w:val="FC36445A"/>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F7"/>
    <w:rsid w:val="00037073"/>
    <w:rsid w:val="00037222"/>
    <w:rsid w:val="00134012"/>
    <w:rsid w:val="00166F6D"/>
    <w:rsid w:val="00285A81"/>
    <w:rsid w:val="00285DA4"/>
    <w:rsid w:val="003C1966"/>
    <w:rsid w:val="00415854"/>
    <w:rsid w:val="00454C8D"/>
    <w:rsid w:val="004D0986"/>
    <w:rsid w:val="004F040E"/>
    <w:rsid w:val="004F133D"/>
    <w:rsid w:val="004F26F7"/>
    <w:rsid w:val="00546D95"/>
    <w:rsid w:val="00565BC0"/>
    <w:rsid w:val="00572EC5"/>
    <w:rsid w:val="005E4915"/>
    <w:rsid w:val="005F4060"/>
    <w:rsid w:val="00654CF1"/>
    <w:rsid w:val="00664518"/>
    <w:rsid w:val="007E3F7B"/>
    <w:rsid w:val="007E7A13"/>
    <w:rsid w:val="007F6210"/>
    <w:rsid w:val="00880059"/>
    <w:rsid w:val="00A87259"/>
    <w:rsid w:val="00AB1BF4"/>
    <w:rsid w:val="00B87AD3"/>
    <w:rsid w:val="00C550DF"/>
    <w:rsid w:val="00D0575F"/>
    <w:rsid w:val="00D56937"/>
    <w:rsid w:val="00DC5065"/>
    <w:rsid w:val="00E374C4"/>
    <w:rsid w:val="00E440F0"/>
    <w:rsid w:val="00F61F78"/>
    <w:rsid w:val="00FE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6F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F26F7"/>
    <w:rPr>
      <w:rFonts w:cs="Times New Roman"/>
    </w:rPr>
  </w:style>
  <w:style w:type="paragraph" w:styleId="ListParagraph">
    <w:name w:val="List Paragraph"/>
    <w:basedOn w:val="Normal"/>
    <w:uiPriority w:val="34"/>
    <w:qFormat/>
    <w:rsid w:val="00285A81"/>
    <w:pPr>
      <w:ind w:left="720"/>
    </w:pPr>
  </w:style>
  <w:style w:type="character" w:styleId="CommentReference">
    <w:name w:val="annotation reference"/>
    <w:basedOn w:val="DefaultParagraphFont"/>
    <w:uiPriority w:val="99"/>
    <w:semiHidden/>
    <w:unhideWhenUsed/>
    <w:rsid w:val="00E374C4"/>
    <w:rPr>
      <w:sz w:val="16"/>
      <w:szCs w:val="16"/>
    </w:rPr>
  </w:style>
  <w:style w:type="paragraph" w:styleId="CommentText">
    <w:name w:val="annotation text"/>
    <w:basedOn w:val="Normal"/>
    <w:link w:val="CommentTextChar"/>
    <w:uiPriority w:val="99"/>
    <w:semiHidden/>
    <w:unhideWhenUsed/>
    <w:rsid w:val="00E374C4"/>
    <w:rPr>
      <w:sz w:val="20"/>
      <w:szCs w:val="20"/>
    </w:rPr>
  </w:style>
  <w:style w:type="character" w:customStyle="1" w:styleId="CommentTextChar">
    <w:name w:val="Comment Text Char"/>
    <w:basedOn w:val="DefaultParagraphFont"/>
    <w:link w:val="CommentText"/>
    <w:uiPriority w:val="99"/>
    <w:semiHidden/>
    <w:rsid w:val="00E374C4"/>
    <w:rPr>
      <w:sz w:val="20"/>
      <w:szCs w:val="20"/>
    </w:rPr>
  </w:style>
  <w:style w:type="paragraph" w:styleId="CommentSubject">
    <w:name w:val="annotation subject"/>
    <w:basedOn w:val="CommentText"/>
    <w:next w:val="CommentText"/>
    <w:link w:val="CommentSubjectChar"/>
    <w:uiPriority w:val="99"/>
    <w:semiHidden/>
    <w:unhideWhenUsed/>
    <w:rsid w:val="00E374C4"/>
    <w:rPr>
      <w:b/>
      <w:bCs/>
    </w:rPr>
  </w:style>
  <w:style w:type="character" w:customStyle="1" w:styleId="CommentSubjectChar">
    <w:name w:val="Comment Subject Char"/>
    <w:basedOn w:val="CommentTextChar"/>
    <w:link w:val="CommentSubject"/>
    <w:uiPriority w:val="99"/>
    <w:semiHidden/>
    <w:rsid w:val="00E374C4"/>
    <w:rPr>
      <w:b/>
      <w:bCs/>
      <w:sz w:val="20"/>
      <w:szCs w:val="20"/>
    </w:rPr>
  </w:style>
  <w:style w:type="paragraph" w:styleId="BalloonText">
    <w:name w:val="Balloon Text"/>
    <w:basedOn w:val="Normal"/>
    <w:link w:val="BalloonTextChar"/>
    <w:uiPriority w:val="99"/>
    <w:semiHidden/>
    <w:unhideWhenUsed/>
    <w:rsid w:val="00E374C4"/>
    <w:rPr>
      <w:rFonts w:ascii="Tahoma" w:hAnsi="Tahoma" w:cs="Tahoma"/>
      <w:sz w:val="16"/>
      <w:szCs w:val="16"/>
    </w:rPr>
  </w:style>
  <w:style w:type="character" w:customStyle="1" w:styleId="BalloonTextChar">
    <w:name w:val="Balloon Text Char"/>
    <w:basedOn w:val="DefaultParagraphFont"/>
    <w:link w:val="BalloonText"/>
    <w:uiPriority w:val="99"/>
    <w:semiHidden/>
    <w:rsid w:val="00E3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6F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F26F7"/>
    <w:rPr>
      <w:rFonts w:cs="Times New Roman"/>
    </w:rPr>
  </w:style>
  <w:style w:type="paragraph" w:styleId="ListParagraph">
    <w:name w:val="List Paragraph"/>
    <w:basedOn w:val="Normal"/>
    <w:uiPriority w:val="34"/>
    <w:qFormat/>
    <w:rsid w:val="00285A81"/>
    <w:pPr>
      <w:ind w:left="720"/>
    </w:pPr>
  </w:style>
  <w:style w:type="character" w:styleId="CommentReference">
    <w:name w:val="annotation reference"/>
    <w:basedOn w:val="DefaultParagraphFont"/>
    <w:uiPriority w:val="99"/>
    <w:semiHidden/>
    <w:unhideWhenUsed/>
    <w:rsid w:val="00E374C4"/>
    <w:rPr>
      <w:sz w:val="16"/>
      <w:szCs w:val="16"/>
    </w:rPr>
  </w:style>
  <w:style w:type="paragraph" w:styleId="CommentText">
    <w:name w:val="annotation text"/>
    <w:basedOn w:val="Normal"/>
    <w:link w:val="CommentTextChar"/>
    <w:uiPriority w:val="99"/>
    <w:semiHidden/>
    <w:unhideWhenUsed/>
    <w:rsid w:val="00E374C4"/>
    <w:rPr>
      <w:sz w:val="20"/>
      <w:szCs w:val="20"/>
    </w:rPr>
  </w:style>
  <w:style w:type="character" w:customStyle="1" w:styleId="CommentTextChar">
    <w:name w:val="Comment Text Char"/>
    <w:basedOn w:val="DefaultParagraphFont"/>
    <w:link w:val="CommentText"/>
    <w:uiPriority w:val="99"/>
    <w:semiHidden/>
    <w:rsid w:val="00E374C4"/>
    <w:rPr>
      <w:sz w:val="20"/>
      <w:szCs w:val="20"/>
    </w:rPr>
  </w:style>
  <w:style w:type="paragraph" w:styleId="CommentSubject">
    <w:name w:val="annotation subject"/>
    <w:basedOn w:val="CommentText"/>
    <w:next w:val="CommentText"/>
    <w:link w:val="CommentSubjectChar"/>
    <w:uiPriority w:val="99"/>
    <w:semiHidden/>
    <w:unhideWhenUsed/>
    <w:rsid w:val="00E374C4"/>
    <w:rPr>
      <w:b/>
      <w:bCs/>
    </w:rPr>
  </w:style>
  <w:style w:type="character" w:customStyle="1" w:styleId="CommentSubjectChar">
    <w:name w:val="Comment Subject Char"/>
    <w:basedOn w:val="CommentTextChar"/>
    <w:link w:val="CommentSubject"/>
    <w:uiPriority w:val="99"/>
    <w:semiHidden/>
    <w:rsid w:val="00E374C4"/>
    <w:rPr>
      <w:b/>
      <w:bCs/>
      <w:sz w:val="20"/>
      <w:szCs w:val="20"/>
    </w:rPr>
  </w:style>
  <w:style w:type="paragraph" w:styleId="BalloonText">
    <w:name w:val="Balloon Text"/>
    <w:basedOn w:val="Normal"/>
    <w:link w:val="BalloonTextChar"/>
    <w:uiPriority w:val="99"/>
    <w:semiHidden/>
    <w:unhideWhenUsed/>
    <w:rsid w:val="00E374C4"/>
    <w:rPr>
      <w:rFonts w:ascii="Tahoma" w:hAnsi="Tahoma" w:cs="Tahoma"/>
      <w:sz w:val="16"/>
      <w:szCs w:val="16"/>
    </w:rPr>
  </w:style>
  <w:style w:type="character" w:customStyle="1" w:styleId="BalloonTextChar">
    <w:name w:val="Balloon Text Char"/>
    <w:basedOn w:val="DefaultParagraphFont"/>
    <w:link w:val="BalloonText"/>
    <w:uiPriority w:val="99"/>
    <w:semiHidden/>
    <w:rsid w:val="00E3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CFAD6A55</Template>
  <TotalTime>12</TotalTime>
  <Pages>2</Pages>
  <Words>573</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AppV Sequencer Account</cp:lastModifiedBy>
  <cp:revision>3</cp:revision>
  <dcterms:created xsi:type="dcterms:W3CDTF">2016-02-19T16:24:00Z</dcterms:created>
  <dcterms:modified xsi:type="dcterms:W3CDTF">2016-02-22T14:54:00Z</dcterms:modified>
</cp:coreProperties>
</file>